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E91B73">
        <w:rPr>
          <w:rFonts w:ascii="Arial" w:hAnsi="Arial" w:cs="Arial"/>
          <w:sz w:val="40"/>
        </w:rPr>
        <w:t>1</w:t>
      </w:r>
      <w:r w:rsidR="0012092B">
        <w:rPr>
          <w:rFonts w:ascii="Arial" w:hAnsi="Arial" w:cs="Arial"/>
          <w:sz w:val="40"/>
        </w:rPr>
        <w:t>1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12092B">
        <w:rPr>
          <w:rFonts w:ascii="Arial" w:hAnsi="Arial" w:cs="Arial"/>
          <w:sz w:val="40"/>
        </w:rPr>
        <w:t>STRAY ANIMAL PROCESSING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Default="000229FB" w:rsidP="0040516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define the process of </w:t>
      </w:r>
      <w:r w:rsidR="0012092B">
        <w:rPr>
          <w:rFonts w:ascii="Arial" w:eastAsia="Times New Roman" w:hAnsi="Arial" w:cs="Arial"/>
          <w:color w:val="000000" w:themeColor="text1"/>
          <w:sz w:val="20"/>
          <w:szCs w:val="20"/>
        </w:rPr>
        <w:t>intake, hold and making available, stray animals.</w:t>
      </w:r>
    </w:p>
    <w:p w:rsidR="000229FB" w:rsidRDefault="000229FB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0229FB" w:rsidRPr="00A100FD" w:rsidRDefault="0012092B" w:rsidP="000229FB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Any animal that is considered stray . . 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0229FB" w:rsidRPr="00552228" w:rsidRDefault="000229F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  <w:r w:rsidR="0012092B">
        <w:rPr>
          <w:rFonts w:ascii="Arial" w:eastAsia="Times New Roman" w:hAnsi="Arial" w:cs="Arial"/>
          <w:color w:val="000000" w:themeColor="text1"/>
          <w:sz w:val="20"/>
          <w:szCs w:val="20"/>
        </w:rPr>
        <w:t>/Admitting</w:t>
      </w:r>
    </w:p>
    <w:p w:rsidR="00552228" w:rsidRPr="00552228" w:rsidRDefault="0012092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Behavior Staff</w:t>
      </w:r>
    </w:p>
    <w:p w:rsidR="00552228" w:rsidRPr="000229FB" w:rsidRDefault="0012092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Kennel Manager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338B6" w:rsidRPr="009338B6" w:rsidRDefault="009338B6" w:rsidP="00552228">
      <w:pPr>
        <w:rPr>
          <w:b/>
        </w:rPr>
      </w:pPr>
      <w:r w:rsidRPr="009338B6">
        <w:rPr>
          <w:b/>
        </w:rPr>
        <w:t xml:space="preserve">ShelterLuv </w:t>
      </w:r>
      <w:r w:rsidRPr="009338B6">
        <w:t>– Database used by HSWM for all tracking of customers, animals and associated service</w:t>
      </w:r>
    </w:p>
    <w:p w:rsidR="00405165" w:rsidRDefault="00552228" w:rsidP="00552228">
      <w:r>
        <w:t>C</w:t>
      </w:r>
      <w:r w:rsidRPr="009338B6">
        <w:rPr>
          <w:b/>
        </w:rPr>
        <w:t xml:space="preserve">S </w:t>
      </w:r>
      <w:r w:rsidRPr="009338B6">
        <w:t xml:space="preserve">– </w:t>
      </w:r>
      <w:r>
        <w:t>Customer Service staff</w:t>
      </w:r>
    </w:p>
    <w:p w:rsidR="00552228" w:rsidRDefault="0012092B" w:rsidP="00552228">
      <w:r>
        <w:t xml:space="preserve">Stray - </w:t>
      </w:r>
      <w:r w:rsidR="00A3729E">
        <w:t>animal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0229FB" w:rsidRDefault="00274995" w:rsidP="0084166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Stray animals require an appointment.  Walk ins will be considered on a case by case basis.</w:t>
      </w:r>
      <w:r w:rsidR="00FC125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Appointments are scheduled on the Google calendar.</w:t>
      </w:r>
    </w:p>
    <w:p w:rsidR="00274995" w:rsidRDefault="00274995" w:rsidP="0084166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Transfer of Care fee applies.  This may be discounted or waived on a case by case basis by management.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a dog has no microchip or form of identification (rabies tag, name tag, </w:t>
      </w:r>
      <w:proofErr w:type="spellStart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etc</w:t>
      </w:r>
      <w:proofErr w:type="spellEnd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), then the hold will be for 4 business days.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a cat has no microchip or form of identification, the hold period is not necessary and will not be applied. 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If the animal has a microchip or form of identification, there will be a 7 business day hold period starting the day that contact (letter) was initiated.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All holds will need to be written on the stray/microchip hold list that is attached to the admitting desk white board for Admitting Staff's convenience.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All holds must be entered in as a pop up memo located in the animal’s file.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All owner information and points of contact (with dates) must be written in a history memo in the animal’s file or attached to the pop up memo.</w:t>
      </w:r>
    </w:p>
    <w:p w:rsidR="00274995" w:rsidRDefault="00274995" w:rsidP="0084166F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27499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Forms of Owner Identification</w:t>
      </w:r>
    </w:p>
    <w:p w:rsidR="00274995" w:rsidRPr="0084166F" w:rsidRDefault="0084166F" w:rsidP="00A3729E">
      <w:pPr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Microchip</w:t>
      </w:r>
    </w:p>
    <w:p w:rsidR="00274995" w:rsidRPr="0084166F" w:rsidRDefault="0084166F" w:rsidP="00A3729E">
      <w:pPr>
        <w:ind w:left="1080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a. </w:t>
      </w:r>
      <w:r w:rsidR="00274995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Go to the AAHA microchip lookup site and type in the microchip number</w:t>
      </w:r>
      <w:r w:rsidR="00D747CC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hyperlink r:id="rId7" w:history="1">
        <w:r w:rsidRPr="0051435B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www.petmicrochiplookup.org</w:t>
        </w:r>
      </w:hyperlink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 </w:t>
      </w:r>
    </w:p>
    <w:p w:rsidR="00274995" w:rsidRPr="0084166F" w:rsidRDefault="0084166F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b. </w:t>
      </w:r>
      <w:r w:rsidR="00274995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Contact the microchip company through phone call or website lookup and collect the owner’s information</w:t>
      </w:r>
    </w:p>
    <w:p w:rsidR="00274995" w:rsidRPr="0084166F" w:rsidRDefault="0084166F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c. </w:t>
      </w:r>
      <w:r w:rsidR="00274995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Contact the owner through phone first, and if you cannot get through or have to leave a message then a letter must be sent to their home address listed under the microchip.</w:t>
      </w:r>
    </w:p>
    <w:p w:rsidR="00274995" w:rsidRPr="00274995" w:rsidRDefault="00274995" w:rsidP="00A3729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pStyle w:val="ListParagraph"/>
        <w:numPr>
          <w:ilvl w:val="0"/>
          <w:numId w:val="8"/>
        </w:numPr>
        <w:tabs>
          <w:tab w:val="left" w:pos="990"/>
        </w:tabs>
        <w:ind w:left="108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7499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Dog License Tags</w:t>
      </w:r>
    </w:p>
    <w:p w:rsidR="00FC1251" w:rsidRPr="0084166F" w:rsidRDefault="00274995" w:rsidP="00A3729E">
      <w:pPr>
        <w:pStyle w:val="ListParagraph"/>
        <w:numPr>
          <w:ilvl w:val="1"/>
          <w:numId w:val="16"/>
        </w:numPr>
        <w:tabs>
          <w:tab w:val="left" w:pos="990"/>
        </w:tabs>
        <w:ind w:left="1080" w:firstLin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See what county the dog license belongs to. If Kent County, you can do a lookup on the dog license website to get the owner information. If it does not show up under the county </w:t>
      </w:r>
      <w:r w:rsidR="00FC1251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website (</w:t>
      </w:r>
      <w:proofErr w:type="gramStart"/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www.accesskent.com/mi 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Dog</w:t>
      </w:r>
      <w:proofErr w:type="gramEnd"/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License</w:t>
      </w:r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/</w:t>
      </w:r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Nav</w:t>
      </w:r>
      <w:proofErr w:type="spellEnd"/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Login.action</w:t>
      </w:r>
      <w:proofErr w:type="spellEnd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), then it may show up on </w:t>
      </w:r>
      <w:r w:rsidR="00D747CC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the old license site. (</w:t>
      </w:r>
      <w:r w:rsidR="00D747CC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www.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kentcounty.shelterbuddy.com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</w:p>
    <w:p w:rsidR="00FC1251" w:rsidRPr="0084166F" w:rsidRDefault="00274995" w:rsidP="00A3729E">
      <w:pPr>
        <w:tabs>
          <w:tab w:val="left" w:pos="990"/>
        </w:tabs>
        <w:ind w:left="1080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Login: HSWM </w:t>
      </w:r>
    </w:p>
    <w:p w:rsidR="00274995" w:rsidRPr="0084166F" w:rsidRDefault="00274995" w:rsidP="00A3729E">
      <w:pPr>
        <w:tabs>
          <w:tab w:val="left" w:pos="990"/>
        </w:tabs>
        <w:ind w:left="1080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Password: Lic123</w:t>
      </w:r>
    </w:p>
    <w:p w:rsidR="00274995" w:rsidRPr="0084166F" w:rsidRDefault="00274995" w:rsidP="00A3729E">
      <w:pPr>
        <w:pStyle w:val="ListParagraph"/>
        <w:numPr>
          <w:ilvl w:val="1"/>
          <w:numId w:val="16"/>
        </w:numPr>
        <w:tabs>
          <w:tab w:val="left" w:pos="990"/>
        </w:tabs>
        <w:ind w:left="1080" w:firstLin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From a different county, contact </w:t>
      </w:r>
      <w:r w:rsidR="0084166F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that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county shelter or county office</w:t>
      </w:r>
    </w:p>
    <w:p w:rsidR="00274995" w:rsidRPr="0084166F" w:rsidRDefault="00274995" w:rsidP="00A3729E">
      <w:pPr>
        <w:pStyle w:val="ListParagraph"/>
        <w:numPr>
          <w:ilvl w:val="1"/>
          <w:numId w:val="16"/>
        </w:numPr>
        <w:tabs>
          <w:tab w:val="left" w:pos="990"/>
        </w:tabs>
        <w:ind w:left="1080" w:firstLin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Follow step </w:t>
      </w:r>
      <w:r w:rsidR="0084166F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the microchip section.</w:t>
      </w:r>
    </w:p>
    <w:p w:rsidR="00274995" w:rsidRPr="00274995" w:rsidRDefault="00274995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pStyle w:val="ListParagraph"/>
        <w:numPr>
          <w:ilvl w:val="0"/>
          <w:numId w:val="8"/>
        </w:numPr>
        <w:ind w:left="108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7499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Rabies tags</w:t>
      </w:r>
    </w:p>
    <w:p w:rsidR="00274995" w:rsidRPr="0084166F" w:rsidRDefault="00274995" w:rsidP="00A3729E">
      <w:pPr>
        <w:pStyle w:val="ListParagraph"/>
        <w:numPr>
          <w:ilvl w:val="0"/>
          <w:numId w:val="19"/>
        </w:numPr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Contact the veterinary office which the tag is through and read off the tag number to them so they can locate which pet it belongs to.</w:t>
      </w:r>
    </w:p>
    <w:p w:rsidR="00274995" w:rsidRPr="0084166F" w:rsidRDefault="00274995" w:rsidP="00A3729E">
      <w:pPr>
        <w:pStyle w:val="ListParagraph"/>
        <w:numPr>
          <w:ilvl w:val="0"/>
          <w:numId w:val="19"/>
        </w:numPr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Once they are able to relinquish owner information, follow step </w:t>
      </w:r>
      <w:r w:rsidR="0084166F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the microchip section.</w:t>
      </w:r>
    </w:p>
    <w:p w:rsidR="00274995" w:rsidRPr="00274995" w:rsidRDefault="00274995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*Never give out the owner’s personal information to the finder unless you were given consent to do so*  </w:t>
      </w:r>
    </w:p>
    <w:p w:rsidR="00274995" w:rsidRPr="00274995" w:rsidRDefault="0084166F" w:rsidP="00A3729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="00274995"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>any microchip companies may rel</w:t>
      </w:r>
      <w:r w:rsidR="00FC1251">
        <w:rPr>
          <w:rFonts w:ascii="Arial" w:eastAsia="Times New Roman" w:hAnsi="Arial" w:cs="Arial"/>
          <w:color w:val="000000" w:themeColor="text1"/>
          <w:sz w:val="20"/>
          <w:szCs w:val="20"/>
        </w:rPr>
        <w:t>inquish owner information to HSWM</w:t>
      </w:r>
      <w:r w:rsidR="00274995"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but many profiles have privacy locks on them to the general public.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Do</w:t>
      </w:r>
      <w:r w:rsidR="00274995"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not to impose on these policies and relinquish personal information, as this can put other parties at risk. </w:t>
      </w:r>
    </w:p>
    <w:p w:rsidR="0012092B" w:rsidRPr="00A100FD" w:rsidRDefault="0012092B" w:rsidP="00A3729E">
      <w:pPr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05165" w:rsidRDefault="0084166F" w:rsidP="0084166F">
      <w:pPr>
        <w:pStyle w:val="ListParagraph"/>
        <w:numPr>
          <w:ilvl w:val="0"/>
          <w:numId w:val="16"/>
        </w:numPr>
        <w:tabs>
          <w:tab w:val="clear" w:pos="720"/>
        </w:tabs>
        <w:ind w:left="360"/>
      </w:pPr>
      <w:r>
        <w:t>Incoming animals are entered into ShelterLuv with a status of ‘Welfare Assessment’, and the animal is put in the appropriate holding area pending medical and behavior evaluations.</w:t>
      </w:r>
    </w:p>
    <w:p w:rsidR="00937F2E" w:rsidRDefault="00937F2E" w:rsidP="0084166F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F8795E" w:rsidRDefault="00405165" w:rsidP="0012092B">
      <w:pPr>
        <w:ind w:left="360" w:hanging="360"/>
      </w:pPr>
      <w:r>
        <w:t>•</w:t>
      </w:r>
      <w:r>
        <w:tab/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8D15E6" w:rsidRDefault="008D15E6" w:rsidP="008D15E6">
      <w:r>
        <w:t xml:space="preserve">Created </w:t>
      </w:r>
      <w:r w:rsidR="00560285">
        <w:t>10</w:t>
      </w:r>
      <w:r w:rsidR="0012092B">
        <w:t xml:space="preserve">/9/19 </w:t>
      </w:r>
      <w:r>
        <w:t>– V1</w:t>
      </w:r>
    </w:p>
    <w:p w:rsidR="00541992" w:rsidRDefault="006477EB">
      <w:bookmarkStart w:id="0" w:name="_GoBack"/>
      <w:bookmarkEnd w:id="0"/>
    </w:p>
    <w:sectPr w:rsidR="0054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EB" w:rsidRDefault="006477EB" w:rsidP="00405165">
      <w:r>
        <w:separator/>
      </w:r>
    </w:p>
  </w:endnote>
  <w:endnote w:type="continuationSeparator" w:id="0">
    <w:p w:rsidR="006477EB" w:rsidRDefault="006477EB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D61DEF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8514C1">
      <w:rPr>
        <w:b/>
        <w:sz w:val="20"/>
      </w:rPr>
      <w:t>1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5560F1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F02F0B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EB" w:rsidRDefault="006477EB" w:rsidP="00405165">
      <w:r>
        <w:separator/>
      </w:r>
    </w:p>
  </w:footnote>
  <w:footnote w:type="continuationSeparator" w:id="0">
    <w:p w:rsidR="006477EB" w:rsidRDefault="006477EB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7" name="Picture 7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CF" w:rsidRDefault="00700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14F"/>
    <w:multiLevelType w:val="hybridMultilevel"/>
    <w:tmpl w:val="B96C0E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516BA"/>
    <w:multiLevelType w:val="hybridMultilevel"/>
    <w:tmpl w:val="EA78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111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16852"/>
    <w:multiLevelType w:val="hybridMultilevel"/>
    <w:tmpl w:val="36828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90F97"/>
    <w:multiLevelType w:val="hybridMultilevel"/>
    <w:tmpl w:val="726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7394"/>
    <w:multiLevelType w:val="multilevel"/>
    <w:tmpl w:val="ECB0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23B13"/>
    <w:multiLevelType w:val="hybridMultilevel"/>
    <w:tmpl w:val="21B8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E8B"/>
    <w:multiLevelType w:val="hybridMultilevel"/>
    <w:tmpl w:val="A75E4CC6"/>
    <w:lvl w:ilvl="0" w:tplc="09A2C8E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7053F"/>
    <w:multiLevelType w:val="hybridMultilevel"/>
    <w:tmpl w:val="381E3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E105A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82440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91E5B"/>
    <w:multiLevelType w:val="hybridMultilevel"/>
    <w:tmpl w:val="62446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27317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C1C46"/>
    <w:multiLevelType w:val="hybridMultilevel"/>
    <w:tmpl w:val="E3B0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5636"/>
    <w:multiLevelType w:val="multilevel"/>
    <w:tmpl w:val="49744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C76FA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A760D34"/>
    <w:multiLevelType w:val="hybridMultilevel"/>
    <w:tmpl w:val="7D4C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B5558"/>
    <w:multiLevelType w:val="hybridMultilevel"/>
    <w:tmpl w:val="D442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4"/>
  </w:num>
  <w:num w:numId="5">
    <w:abstractNumId w:val="1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229FB"/>
    <w:rsid w:val="0005210D"/>
    <w:rsid w:val="000B2FD5"/>
    <w:rsid w:val="000F2138"/>
    <w:rsid w:val="0012092B"/>
    <w:rsid w:val="00124E79"/>
    <w:rsid w:val="00274995"/>
    <w:rsid w:val="0032765C"/>
    <w:rsid w:val="003B7CE7"/>
    <w:rsid w:val="003D22CB"/>
    <w:rsid w:val="00405165"/>
    <w:rsid w:val="00413557"/>
    <w:rsid w:val="00475671"/>
    <w:rsid w:val="005164C7"/>
    <w:rsid w:val="00552228"/>
    <w:rsid w:val="005560F1"/>
    <w:rsid w:val="00560285"/>
    <w:rsid w:val="00563AD7"/>
    <w:rsid w:val="005A074C"/>
    <w:rsid w:val="005A76BA"/>
    <w:rsid w:val="006477EB"/>
    <w:rsid w:val="00700FCF"/>
    <w:rsid w:val="007A7C0D"/>
    <w:rsid w:val="00824CEE"/>
    <w:rsid w:val="0084166F"/>
    <w:rsid w:val="008514C1"/>
    <w:rsid w:val="008643FB"/>
    <w:rsid w:val="008D15E6"/>
    <w:rsid w:val="0091072C"/>
    <w:rsid w:val="009338B6"/>
    <w:rsid w:val="00937F2E"/>
    <w:rsid w:val="00A02F1A"/>
    <w:rsid w:val="00A3729E"/>
    <w:rsid w:val="00A7566D"/>
    <w:rsid w:val="00AF12B5"/>
    <w:rsid w:val="00BA6DB3"/>
    <w:rsid w:val="00BE5B6D"/>
    <w:rsid w:val="00C83B00"/>
    <w:rsid w:val="00D00104"/>
    <w:rsid w:val="00D61DEF"/>
    <w:rsid w:val="00D747CC"/>
    <w:rsid w:val="00DD191D"/>
    <w:rsid w:val="00E91B73"/>
    <w:rsid w:val="00EA5D2F"/>
    <w:rsid w:val="00F02F0B"/>
    <w:rsid w:val="00F8795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CA28F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tmicrochiplooku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dcterms:created xsi:type="dcterms:W3CDTF">2019-09-09T18:33:00Z</dcterms:created>
  <dcterms:modified xsi:type="dcterms:W3CDTF">2019-10-09T18:07:00Z</dcterms:modified>
</cp:coreProperties>
</file>